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15" w:rsidRDefault="00E818B1">
      <w:r>
        <w:t xml:space="preserve">• Lei de Diretrizes Orçamentárias Prevista no Art. 165, inciso II da CF, a LDO é o elo de ligação entre o Plano Plurianual - PPA e a Lei Orçamentária Anual - LOA </w:t>
      </w:r>
      <w:proofErr w:type="gramStart"/>
      <w:r>
        <w:t>• Tem</w:t>
      </w:r>
      <w:proofErr w:type="gramEnd"/>
      <w:r>
        <w:t xml:space="preserve"> como principal função selecionar dentre as ações previstas no PPA, aquelas que terão prioridade na execução do orçamento do ano seguinte.</w:t>
      </w:r>
      <w:bookmarkStart w:id="0" w:name="_GoBack"/>
      <w:bookmarkEnd w:id="0"/>
    </w:p>
    <w:sectPr w:rsidR="00415A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B1"/>
    <w:rsid w:val="00243065"/>
    <w:rsid w:val="00D82ADF"/>
    <w:rsid w:val="00E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14253-4ECC-405A-987A-48BCD3C7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2021-08-06T20:35:00Z</dcterms:created>
  <dcterms:modified xsi:type="dcterms:W3CDTF">2021-08-06T20:35:00Z</dcterms:modified>
</cp:coreProperties>
</file>