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            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CONVOCAÇÃO ORDINÁRIA 003.07.06.2022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 presidente do Conselho Municipal de Assistência Social-CMAS, no uso de suas atribuições, convoca a todos (as) para participarem da Reunião Extraordinária do CMAS, a realizar-se de forma presencial na sala de reuniões da Secretaria Municipal de Assistência Social-SMAS e online através da plataforma Google Mett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5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4253"/>
        <w:tblGridChange w:id="0">
          <w:tblGrid>
            <w:gridCol w:w="1271"/>
            <w:gridCol w:w="42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07.06.2022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13:30hrs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LOCAL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Sala de reunião  (Secretaria Municipal de Assistência Social) e pela Plataforma Google Meet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                             PAUTAS</w:t>
      </w:r>
    </w:p>
    <w:p w:rsidR="00000000" w:rsidDel="00000000" w:rsidP="00000000" w:rsidRDefault="00000000" w:rsidRPr="00000000" w14:paraId="00000010">
      <w:pPr>
        <w:spacing w:line="360" w:lineRule="auto"/>
        <w:ind w:left="1416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1.0 -Aprovação da ordem do dia;</w:t>
      </w:r>
    </w:p>
    <w:p w:rsidR="00000000" w:rsidDel="00000000" w:rsidP="00000000" w:rsidRDefault="00000000" w:rsidRPr="00000000" w14:paraId="00000011">
      <w:pPr>
        <w:spacing w:line="360" w:lineRule="auto"/>
        <w:ind w:left="565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 2.0 -Inscrição na palavra livre;</w:t>
      </w:r>
    </w:p>
    <w:p w:rsidR="00000000" w:rsidDel="00000000" w:rsidP="00000000" w:rsidRDefault="00000000" w:rsidRPr="00000000" w14:paraId="00000012">
      <w:pPr>
        <w:spacing w:line="360" w:lineRule="auto"/>
        <w:ind w:left="1416" w:firstLine="0"/>
        <w:jc w:val="both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3.0 - Momento da Assessoria; 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. Aprovação Ata da plenária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04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.202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3">
      <w:pPr>
        <w:spacing w:line="360" w:lineRule="auto"/>
        <w:ind w:left="565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4.0 – Apresentação do Plano de Trabalho do Cofinanciamento Estadual para o ano 2022; 4.1. Resolução 006. 2022 Aprova do Plano de trabalho para cofinanciamento estadual fundo a fundo 20.22.</w:t>
      </w:r>
    </w:p>
    <w:p w:rsidR="00000000" w:rsidDel="00000000" w:rsidP="00000000" w:rsidRDefault="00000000" w:rsidRPr="00000000" w14:paraId="00000014">
      <w:pPr>
        <w:spacing w:line="360" w:lineRule="auto"/>
        <w:ind w:left="565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5.0 – Apresentação da reprogramação do recurso de Cofinanciamento Estadual referente a 2021; 5.1. Resolução 007.2022 aprova a reprogramação do recurso Estadual Fundo a fundo 2021.    </w:t>
      </w:r>
    </w:p>
    <w:p w:rsidR="00000000" w:rsidDel="00000000" w:rsidP="00000000" w:rsidRDefault="00000000" w:rsidRPr="00000000" w14:paraId="00000015">
      <w:pPr>
        <w:spacing w:line="360" w:lineRule="auto"/>
        <w:ind w:left="565" w:firstLine="0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6.0-  Apresentação da reprogramação do plano de trabalho do Recurso Federal Sistema de Gestão  Transferências Voluntárias -SIG.TV, 6.1. Sistema de transferências Sigtv CRAS  81.087,39 Custeio,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6.1.2.- Resolução 008.2022.CMAS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que aprova Sig tv CRAS  81.087,39 Custeio. 6.2. Sig tv 98.000,0 Reprogramada para Custeio na gestão.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6.2.1. Resolução 009.2022.CMAS aprova reprogramação do SIGTV 98.000,00 para custear serviços de gestão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, 6.3.Aprova sigtv R$44.171,06, Para custeio CRAS,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RESOL.010.2022/CMAS.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565" w:firstLine="0"/>
        <w:jc w:val="both"/>
        <w:rPr>
          <w:rFonts w:ascii="Verdana" w:cs="Verdana" w:eastAsia="Verdana" w:hAnsi="Verdan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7.0- Ofício Nº1051/2022/SEDS/CGG/MC Solicita providencias acerca da transferência do Veículo da estrutura de mobilidade no sistema Único de Assistência Social-MOBSUAS- Resolução do CNAS nº237/2006, art. 3 incisos I ao XVI;</w:t>
      </w:r>
    </w:p>
    <w:p w:rsidR="00000000" w:rsidDel="00000000" w:rsidP="00000000" w:rsidRDefault="00000000" w:rsidRPr="00000000" w14:paraId="00000017">
      <w:pPr>
        <w:spacing w:line="360" w:lineRule="auto"/>
        <w:ind w:left="565" w:firstLine="0"/>
        <w:jc w:val="both"/>
        <w:rPr>
          <w:rFonts w:ascii="Verdana" w:cs="Verdana" w:eastAsia="Verdana" w:hAnsi="Verdana"/>
          <w:sz w:val="24"/>
          <w:szCs w:val="24"/>
        </w:rPr>
      </w:pPr>
      <w:bookmarkStart w:colFirst="0" w:colLast="0" w:name="_heading=h.vnj744nme80u" w:id="1"/>
      <w:bookmarkEnd w:id="1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8.0- Palavra Livre;</w:t>
      </w:r>
    </w:p>
    <w:p w:rsidR="00000000" w:rsidDel="00000000" w:rsidP="00000000" w:rsidRDefault="00000000" w:rsidRPr="00000000" w14:paraId="00000018">
      <w:pPr>
        <w:spacing w:line="360" w:lineRule="auto"/>
        <w:ind w:left="565" w:firstLine="0"/>
        <w:jc w:val="both"/>
        <w:rPr>
          <w:rFonts w:ascii="Verdana" w:cs="Verdana" w:eastAsia="Verdana" w:hAnsi="Verdana"/>
          <w:sz w:val="24"/>
          <w:szCs w:val="24"/>
        </w:rPr>
      </w:pPr>
      <w:bookmarkStart w:colFirst="0" w:colLast="0" w:name="_heading=h.7xyeeb22y70y" w:id="2"/>
      <w:bookmarkEnd w:id="2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9.0- Encerramento.</w:t>
      </w:r>
    </w:p>
    <w:sectPr>
      <w:head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86474" cy="967363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6474" cy="967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0</wp:posOffset>
              </wp:positionV>
              <wp:extent cx="5162550" cy="12192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83775" y="3189450"/>
                        <a:ext cx="512445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708.0000305175781" w:right="0" w:firstLine="2124.000091552734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u w:val="single"/>
                              <w:vertAlign w:val="baseline"/>
                            </w:rPr>
                            <w:t xml:space="preserve">CONSELHO MUNICIPAL DE ASSISTÊNCIA SOCIAL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1416.0000610351562" w:right="0" w:firstLine="495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LEI MUNICIPAL Nº 1645/2012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Praça Francisco Pereira de Souza, 89        -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	 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88650-000 URUBICI -SC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____________________________________________________________________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0</wp:posOffset>
              </wp:positionV>
              <wp:extent cx="5162550" cy="121920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62550" cy="1219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14FC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7814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814FC"/>
  </w:style>
  <w:style w:type="paragraph" w:styleId="Rodap">
    <w:name w:val="footer"/>
    <w:basedOn w:val="Normal"/>
    <w:link w:val="RodapChar"/>
    <w:uiPriority w:val="99"/>
    <w:unhideWhenUsed w:val="1"/>
    <w:rsid w:val="007814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814FC"/>
  </w:style>
  <w:style w:type="table" w:styleId="Tabelacomgrade">
    <w:name w:val="Table Grid"/>
    <w:basedOn w:val="Tabelanormal"/>
    <w:uiPriority w:val="39"/>
    <w:rsid w:val="000020C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7548B7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276614"/>
    <w:pPr>
      <w:spacing w:after="0" w:line="240" w:lineRule="auto"/>
    </w:pPr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27661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276614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kXoLZ3gRP1ysfPM7cjqzWwG/mQ==">AMUW2mUDaKSI2mQ8FwPJvIc29Uh/rdgRuGKkA3f8xG066fl/p4tGQwTwKz7E+2e6ITPqKau8GtSNwVPLOY+lfZVQJ2Ixr09hNH2NuL13cWjJ+PKSndKGYPq3Vm4jje3G37IsRzl3voGFzOtnZRKCGMuMYLx5cCIF186TvRBuu32sesEoRyFgqTQ=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2022-06-06T13:02:00Z</dcterms:created>
  <dc:creator>usuario</dc:creator>
</cp:coreProperties>
</file>