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16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CONSELHO MUNICIPAL DOS DIREITOS DA CRIANÇA E ADOLESCENTE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-365119</wp:posOffset>
            </wp:positionH>
            <wp:positionV relativeFrom="paragraph">
              <wp:posOffset>-157476</wp:posOffset>
            </wp:positionV>
            <wp:extent cx="1411605" cy="1307465"/>
            <wp:effectExtent b="0" l="0" r="0" t="0"/>
            <wp:wrapSquare wrapText="bothSides" distB="0" distT="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2082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11605" cy="13074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160" w:lineRule="auto"/>
        <w:rPr>
          <w:b w:val="1"/>
        </w:rPr>
      </w:pPr>
      <w:r w:rsidDel="00000000" w:rsidR="00000000" w:rsidRPr="00000000">
        <w:rPr>
          <w:rtl w:val="0"/>
        </w:rPr>
        <w:t xml:space="preserve">LEI FEDERAL Nº 8.069/90</w:t>
        <w:tab/>
        <w:t xml:space="preserve">                     -            LEI MUNICIPAL Nº2.069/2019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1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Praça Francisco Pereira de Souza, 89        -</w:t>
      </w:r>
      <w:r w:rsidDel="00000000" w:rsidR="00000000" w:rsidRPr="00000000">
        <w:rPr>
          <w:rtl w:val="0"/>
        </w:rPr>
        <w:tab/>
        <w:t xml:space="preserve">                    </w:t>
      </w:r>
      <w:r w:rsidDel="00000000" w:rsidR="00000000" w:rsidRPr="00000000">
        <w:rPr>
          <w:b w:val="1"/>
          <w:rtl w:val="0"/>
        </w:rPr>
        <w:t xml:space="preserve">88650-000 URUBICI -SC</w:t>
      </w:r>
    </w:p>
    <w:p w:rsidR="00000000" w:rsidDel="00000000" w:rsidP="00000000" w:rsidRDefault="00000000" w:rsidRPr="00000000" w14:paraId="00000004">
      <w:pPr>
        <w:spacing w:after="1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05">
      <w:pPr>
        <w:spacing w:after="16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RESOLUÇÃO CMDCA 004/CMDCA/2024</w:t>
      </w:r>
    </w:p>
    <w:p w:rsidR="00000000" w:rsidDel="00000000" w:rsidP="00000000" w:rsidRDefault="00000000" w:rsidRPr="00000000" w14:paraId="00000008">
      <w:pPr>
        <w:spacing w:after="16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40" w:lineRule="auto"/>
        <w:ind w:left="3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Aprova-a para custeio da formação do Colegiado de Conselheiros Tutelares e a Rede do Sistema de Garantia de Direitos, contratação de profissional com especialidade de formação sobre o Sistema de Informação para a Infância e adolescência –SIPIA em loco por 40 horas sendo dez horas destinada a toda Rede .</w:t>
      </w:r>
    </w:p>
    <w:p w:rsidR="00000000" w:rsidDel="00000000" w:rsidP="00000000" w:rsidRDefault="00000000" w:rsidRPr="00000000" w14:paraId="0000000A">
      <w:pPr>
        <w:spacing w:after="240" w:before="240" w:line="240" w:lineRule="auto"/>
        <w:ind w:left="31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 CONSELHO MUNICIPAL DOS DIREITOS DA CRIANÇA E DO ADOLESCENTE – CMDCA,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do Município de Urubici, em Assembleia Geral ordinária 003/2024 realizada no dia 03 de abril de 2024, conforme registrado em Ata Nº003.2024   no uso de suas atribuições legais e regimentais que são conferidas a este Órgão pela Lei Municipal Nº2069/2019.</w:t>
      </w:r>
    </w:p>
    <w:p w:rsidR="00000000" w:rsidDel="00000000" w:rsidP="00000000" w:rsidRDefault="00000000" w:rsidRPr="00000000" w14:paraId="0000000C">
      <w:pPr>
        <w:spacing w:after="240" w:before="240" w:line="24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24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Considerando: Sipia é um sistema nacional de registro e tratamento de informações sobre a garantia e defesa dos direitos fundamentais preconizados no Estatuto da Criança e do Adolescente (ECA). O Sipia tem uma saída de dados agregados em nível municipal, estadual e nacional e se constitui em uma base única nacional para formulação de políticas públicas no setor. A base do Sipia-CT é o Conselho Tutelar, para o qual se dirigem de imediato as demandas: </w:t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67"/>
        </w:tabs>
        <w:spacing w:line="240" w:lineRule="auto"/>
        <w:jc w:val="both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54595f"/>
          <w:sz w:val="24"/>
          <w:szCs w:val="24"/>
          <w:rtl w:val="0"/>
        </w:rPr>
        <w:t xml:space="preserve">Considerando: lei 2.069/2019 - </w:t>
      </w: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Seção I Da Manutenção do Conselho Tutelar:A Lei Orçamentária Municipal deverá estabelecer dotação específica para implantação, manutenção e funcionamento do Conselho Tutelar, incluindo: I - o processo de escolha dos membros do Conselho Tutelar; II - custeio com remuneração e formação continuada;- custeio das atividades inerentes às atribuições dos membros do Conselho Tutelar, inclusive para as despesas com adiantamentos e diárias quando necessário deslocamento para outros Municípios, em serviço ou em capacitações; - manutenção geral da sede, necessária ao funcionamento do órgão.§ 1º Fica vedado o uso dos recursos do Fundo Municipal dos Direitos da Criança e do Adolescente para quaisquer destes fins, com exceção ao custeio da formação e da qualificação funcional dos membros do Conselho Tutelar.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38100</wp:posOffset>
                </wp:positionV>
                <wp:extent cx="449580" cy="17145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121200" y="3692475"/>
                          <a:ext cx="449580" cy="171450"/>
                          <a:chOff x="5121200" y="3692475"/>
                          <a:chExt cx="449600" cy="294925"/>
                        </a:xfrm>
                      </wpg:grpSpPr>
                      <wpg:grpSp>
                        <wpg:cNvGrpSpPr/>
                        <wpg:grpSpPr>
                          <a:xfrm>
                            <a:off x="5121210" y="3694275"/>
                            <a:ext cx="449580" cy="171450"/>
                            <a:chOff x="6122900" y="3692675"/>
                            <a:chExt cx="451525" cy="2744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6122900" y="3692675"/>
                              <a:ext cx="451525" cy="274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6124510" y="3693640"/>
                              <a:ext cx="449580" cy="172085"/>
                              <a:chOff x="0" y="-635"/>
                              <a:chExt cx="449580" cy="17208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44957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3175" y="3175"/>
                                <a:ext cx="441960" cy="164465"/>
                              </a:xfrm>
                              <a:custGeom>
                                <a:rect b="b" l="l" r="r" t="t"/>
                                <a:pathLst>
                                  <a:path extrusionOk="0" h="164465" w="441960">
                                    <a:moveTo>
                                      <a:pt x="0" y="143510"/>
                                    </a:moveTo>
                                    <a:lnTo>
                                      <a:pt x="0" y="20955"/>
                                    </a:lnTo>
                                    <a:lnTo>
                                      <a:pt x="0" y="17780"/>
                                    </a:lnTo>
                                    <a:lnTo>
                                      <a:pt x="0" y="15240"/>
                                    </a:lnTo>
                                    <a:lnTo>
                                      <a:pt x="1270" y="12700"/>
                                    </a:lnTo>
                                    <a:lnTo>
                                      <a:pt x="2540" y="10160"/>
                                    </a:lnTo>
                                    <a:lnTo>
                                      <a:pt x="3810" y="8255"/>
                                    </a:lnTo>
                                    <a:lnTo>
                                      <a:pt x="5715" y="6350"/>
                                    </a:lnTo>
                                    <a:lnTo>
                                      <a:pt x="7620" y="4445"/>
                                    </a:lnTo>
                                    <a:lnTo>
                                      <a:pt x="10160" y="2540"/>
                                    </a:lnTo>
                                    <a:lnTo>
                                      <a:pt x="12700" y="1905"/>
                                    </a:lnTo>
                                    <a:lnTo>
                                      <a:pt x="15240" y="635"/>
                                    </a:lnTo>
                                    <a:lnTo>
                                      <a:pt x="17780" y="0"/>
                                    </a:lnTo>
                                    <a:lnTo>
                                      <a:pt x="20320" y="0"/>
                                    </a:lnTo>
                                    <a:lnTo>
                                      <a:pt x="421005" y="0"/>
                                    </a:lnTo>
                                    <a:lnTo>
                                      <a:pt x="424180" y="0"/>
                                    </a:lnTo>
                                    <a:lnTo>
                                      <a:pt x="426720" y="635"/>
                                    </a:lnTo>
                                    <a:lnTo>
                                      <a:pt x="429260" y="1905"/>
                                    </a:lnTo>
                                    <a:lnTo>
                                      <a:pt x="431800" y="2540"/>
                                    </a:lnTo>
                                    <a:lnTo>
                                      <a:pt x="433705" y="4445"/>
                                    </a:lnTo>
                                    <a:lnTo>
                                      <a:pt x="435610" y="6350"/>
                                    </a:lnTo>
                                    <a:lnTo>
                                      <a:pt x="437515" y="8255"/>
                                    </a:lnTo>
                                    <a:lnTo>
                                      <a:pt x="441960" y="20955"/>
                                    </a:lnTo>
                                    <a:lnTo>
                                      <a:pt x="441960" y="143510"/>
                                    </a:lnTo>
                                    <a:lnTo>
                                      <a:pt x="441960" y="146050"/>
                                    </a:lnTo>
                                    <a:lnTo>
                                      <a:pt x="441325" y="149225"/>
                                    </a:lnTo>
                                    <a:lnTo>
                                      <a:pt x="440055" y="151130"/>
                                    </a:lnTo>
                                    <a:lnTo>
                                      <a:pt x="438785" y="153670"/>
                                    </a:lnTo>
                                    <a:lnTo>
                                      <a:pt x="429260" y="162560"/>
                                    </a:lnTo>
                                    <a:lnTo>
                                      <a:pt x="426720" y="163830"/>
                                    </a:lnTo>
                                    <a:lnTo>
                                      <a:pt x="424180" y="163830"/>
                                    </a:lnTo>
                                    <a:lnTo>
                                      <a:pt x="421005" y="163830"/>
                                    </a:lnTo>
                                    <a:lnTo>
                                      <a:pt x="20320" y="163830"/>
                                    </a:lnTo>
                                    <a:lnTo>
                                      <a:pt x="17780" y="163830"/>
                                    </a:lnTo>
                                    <a:lnTo>
                                      <a:pt x="15240" y="163830"/>
                                    </a:lnTo>
                                    <a:lnTo>
                                      <a:pt x="12700" y="162560"/>
                                    </a:lnTo>
                                    <a:lnTo>
                                      <a:pt x="10160" y="161290"/>
                                    </a:lnTo>
                                    <a:lnTo>
                                      <a:pt x="1270" y="151130"/>
                                    </a:lnTo>
                                    <a:lnTo>
                                      <a:pt x="0" y="149225"/>
                                    </a:lnTo>
                                    <a:lnTo>
                                      <a:pt x="0" y="146050"/>
                                    </a:lnTo>
                                    <a:lnTo>
                                      <a:pt x="0" y="1435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-635"/>
                                <a:ext cx="449580" cy="171450"/>
                              </a:xfrm>
                              <a:custGeom>
                                <a:rect b="b" l="l" r="r" t="t"/>
                                <a:pathLst>
                                  <a:path extrusionOk="0" h="171450" w="449580">
                                    <a:moveTo>
                                      <a:pt x="0" y="0"/>
                                    </a:moveTo>
                                    <a:lnTo>
                                      <a:pt x="0" y="171450"/>
                                    </a:lnTo>
                                    <a:lnTo>
                                      <a:pt x="449580" y="171450"/>
                                    </a:lnTo>
                                    <a:lnTo>
                                      <a:pt x="44958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44.000000953674316" w:line="275.9999942779541"/>
                                    <w:ind w:left="98.00000190734863" w:right="0" w:firstLine="196.00000381469727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5"/>
                                      <w:vertAlign w:val="baseline"/>
                                    </w:rPr>
                                    <w:t xml:space="preserve">Art. 23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38100</wp:posOffset>
                </wp:positionV>
                <wp:extent cx="449580" cy="1714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958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67"/>
        </w:tabs>
        <w:spacing w:line="240" w:lineRule="auto"/>
        <w:jc w:val="both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240" w:lineRule="auto"/>
        <w:jc w:val="both"/>
        <w:rPr>
          <w:rFonts w:ascii="Verdana" w:cs="Verdana" w:eastAsia="Verdana" w:hAnsi="Verdana"/>
          <w:color w:val="54595f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color w:val="54595f"/>
          <w:sz w:val="24"/>
          <w:szCs w:val="24"/>
          <w:rtl w:val="0"/>
        </w:rPr>
        <w:t xml:space="preserve">Art.1º- Aprovado CUSTEIO ATRAVÉS DO Fundo da Infância-FIA Urubici formação de 40 horas para o Colegiado 2024 a 2028 do Conselho Tutelar e dez horas serão destinadas a formação do Sistema de Garantia de Direitos de Urubici</w:t>
      </w:r>
    </w:p>
    <w:p w:rsidR="00000000" w:rsidDel="00000000" w:rsidP="00000000" w:rsidRDefault="00000000" w:rsidRPr="00000000" w14:paraId="00000011">
      <w:pPr>
        <w:spacing w:after="240" w:before="240" w:line="24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54595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Art. 2 - Esta Resolução entra em vigor na data da sua aprovação.</w:t>
      </w:r>
    </w:p>
    <w:p w:rsidR="00000000" w:rsidDel="00000000" w:rsidP="00000000" w:rsidRDefault="00000000" w:rsidRPr="00000000" w14:paraId="00000012">
      <w:pPr>
        <w:spacing w:after="240" w:before="24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3">
      <w:pPr>
        <w:spacing w:after="240" w:before="24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JUSCÉLIA LONGEN</w:t>
      </w:r>
    </w:p>
    <w:p w:rsidR="00000000" w:rsidDel="00000000" w:rsidP="00000000" w:rsidRDefault="00000000" w:rsidRPr="00000000" w14:paraId="00000014">
      <w:pPr>
        <w:spacing w:after="240" w:before="24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Presidente do Conselho Municipal dos Direitos da Criança e Adolescentes</w:t>
      </w:r>
    </w:p>
    <w:p w:rsidR="00000000" w:rsidDel="00000000" w:rsidP="00000000" w:rsidRDefault="00000000" w:rsidRPr="00000000" w14:paraId="00000015">
      <w:pPr>
        <w:spacing w:after="240" w:before="24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4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160" w:line="240" w:lineRule="auto"/>
        <w:ind w:left="504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